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сентября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857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ООО «ФОРПОСТ ГРАНИТ» </w:t>
      </w:r>
      <w:r>
        <w:rPr>
          <w:rFonts w:ascii="Times New Roman" w:eastAsia="Times New Roman" w:hAnsi="Times New Roman" w:cs="Times New Roman"/>
          <w:b/>
          <w:bCs/>
        </w:rPr>
        <w:t>Чехунина</w:t>
      </w:r>
      <w:r>
        <w:rPr>
          <w:rFonts w:ascii="Times New Roman" w:eastAsia="Times New Roman" w:hAnsi="Times New Roman" w:cs="Times New Roman"/>
          <w:b/>
          <w:bCs/>
        </w:rPr>
        <w:t xml:space="preserve"> Александра Игоревича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Чехунин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Энгельса</w:t>
      </w:r>
      <w:r>
        <w:rPr>
          <w:rFonts w:ascii="Times New Roman" w:eastAsia="Times New Roman" w:hAnsi="Times New Roman" w:cs="Times New Roman"/>
        </w:rPr>
        <w:t>, д.58, кв.37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расчет по страховым взносам за 9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пп.1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>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Чехунин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Чехунин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Клейменова С.С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Чехунин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05.07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справкой о несвоевременном представлении декларации (отчетности)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квитанцией о приеме налоговой декларации (расчета)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Чехунин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 xml:space="preserve">расчета по страховым взносам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Чехунин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«ФОРПОСТ ГРАНИТ» </w:t>
      </w:r>
      <w:r>
        <w:rPr>
          <w:rFonts w:ascii="Times New Roman" w:eastAsia="Times New Roman" w:hAnsi="Times New Roman" w:cs="Times New Roman"/>
        </w:rPr>
        <w:t>Чехунина</w:t>
      </w:r>
      <w:r>
        <w:rPr>
          <w:rFonts w:ascii="Times New Roman" w:eastAsia="Times New Roman" w:hAnsi="Times New Roman" w:cs="Times New Roman"/>
        </w:rPr>
        <w:t xml:space="preserve"> Александра Игоревича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2rplc-3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30">
    <w:name w:val="cat-UserDefined grp-22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